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pPr>
      <w:r w:rsidDel="00000000" w:rsidR="00000000" w:rsidRPr="00000000">
        <w:rPr/>
        <w:drawing>
          <wp:inline distB="114300" distT="114300" distL="114300" distR="114300">
            <wp:extent cx="646389" cy="613410"/>
            <wp:effectExtent b="0" l="0" r="0" t="0"/>
            <wp:docPr id="1" name="image1.jpg"/>
            <a:graphic>
              <a:graphicData uri="http://schemas.openxmlformats.org/drawingml/2006/picture">
                <pic:pic>
                  <pic:nvPicPr>
                    <pic:cNvPr id="0" name="image1.jpg"/>
                    <pic:cNvPicPr preferRelativeResize="0"/>
                  </pic:nvPicPr>
                  <pic:blipFill>
                    <a:blip r:embed="rId6"/>
                    <a:srcRect b="6060" l="0" r="0" t="0"/>
                    <a:stretch>
                      <a:fillRect/>
                    </a:stretch>
                  </pic:blipFill>
                  <pic:spPr>
                    <a:xfrm>
                      <a:off x="0" y="0"/>
                      <a:ext cx="646389" cy="61341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ageBreakBefore w:val="0"/>
        <w:rPr>
          <w:sz w:val="2"/>
          <w:szCs w:val="2"/>
        </w:rPr>
      </w:pPr>
      <w:r w:rsidDel="00000000" w:rsidR="00000000" w:rsidRPr="00000000">
        <w:rPr>
          <w:rtl w:val="0"/>
        </w:rPr>
      </w:r>
    </w:p>
    <w:p w:rsidR="00000000" w:rsidDel="00000000" w:rsidP="00000000" w:rsidRDefault="00000000" w:rsidRPr="00000000" w14:paraId="00000003">
      <w:pPr>
        <w:pageBreakBefore w:val="0"/>
        <w:jc w:val="center"/>
        <w:rPr>
          <w:b w:val="1"/>
          <w:sz w:val="36"/>
          <w:szCs w:val="36"/>
        </w:rPr>
      </w:pPr>
      <w:r w:rsidDel="00000000" w:rsidR="00000000" w:rsidRPr="00000000">
        <w:rPr>
          <w:b w:val="1"/>
          <w:sz w:val="36"/>
          <w:szCs w:val="36"/>
          <w:rtl w:val="0"/>
        </w:rPr>
        <w:t xml:space="preserve">Youth Worker Job Description</w:t>
      </w:r>
    </w:p>
    <w:p w:rsidR="00000000" w:rsidDel="00000000" w:rsidP="00000000" w:rsidRDefault="00000000" w:rsidRPr="00000000" w14:paraId="00000004">
      <w:pPr>
        <w:pageBreakBefore w:val="0"/>
        <w:spacing w:line="240" w:lineRule="auto"/>
        <w:ind w:left="2127" w:firstLine="0"/>
        <w:rPr>
          <w:sz w:val="8"/>
          <w:szCs w:val="8"/>
        </w:rPr>
      </w:pPr>
      <w:r w:rsidDel="00000000" w:rsidR="00000000" w:rsidRPr="00000000">
        <w:rPr>
          <w:rtl w:val="0"/>
        </w:rPr>
      </w:r>
    </w:p>
    <w:tbl>
      <w:tblPr>
        <w:tblStyle w:val="Table1"/>
        <w:tblW w:w="10425.0" w:type="dxa"/>
        <w:jc w:val="left"/>
        <w:tblInd w:w="-38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0"/>
        <w:gridCol w:w="7605"/>
        <w:tblGridChange w:id="0">
          <w:tblGrid>
            <w:gridCol w:w="2820"/>
            <w:gridCol w:w="7605"/>
          </w:tblGrid>
        </w:tblGridChange>
      </w:tblGrid>
      <w:tr>
        <w:trPr>
          <w:cantSplit w:val="0"/>
          <w:tblHeader w:val="0"/>
        </w:trPr>
        <w:tc>
          <w:tcPr>
            <w:shd w:fill="1c4587" w:val="clear"/>
          </w:tcPr>
          <w:p w:rsidR="00000000" w:rsidDel="00000000" w:rsidP="00000000" w:rsidRDefault="00000000" w:rsidRPr="00000000" w14:paraId="00000005">
            <w:pPr>
              <w:pageBreakBefore w:val="0"/>
              <w:spacing w:line="240" w:lineRule="auto"/>
              <w:rPr>
                <w:b w:val="1"/>
                <w:color w:val="ffffff"/>
                <w:sz w:val="18"/>
                <w:szCs w:val="18"/>
              </w:rPr>
            </w:pPr>
            <w:r w:rsidDel="00000000" w:rsidR="00000000" w:rsidRPr="00000000">
              <w:rPr>
                <w:b w:val="1"/>
                <w:color w:val="ffffff"/>
                <w:sz w:val="18"/>
                <w:szCs w:val="18"/>
                <w:rtl w:val="0"/>
              </w:rPr>
              <w:t xml:space="preserve">Job Title:</w:t>
            </w:r>
          </w:p>
          <w:p w:rsidR="00000000" w:rsidDel="00000000" w:rsidP="00000000" w:rsidRDefault="00000000" w:rsidRPr="00000000" w14:paraId="00000006">
            <w:pPr>
              <w:pageBreakBefore w:val="0"/>
              <w:spacing w:line="240" w:lineRule="auto"/>
              <w:rPr>
                <w:b w:val="1"/>
                <w:color w:val="ffffff"/>
                <w:sz w:val="18"/>
                <w:szCs w:val="18"/>
              </w:rPr>
            </w:pPr>
            <w:r w:rsidDel="00000000" w:rsidR="00000000" w:rsidRPr="00000000">
              <w:rPr>
                <w:rtl w:val="0"/>
              </w:rPr>
            </w:r>
          </w:p>
        </w:tc>
        <w:tc>
          <w:tcPr/>
          <w:p w:rsidR="00000000" w:rsidDel="00000000" w:rsidP="00000000" w:rsidRDefault="00000000" w:rsidRPr="00000000" w14:paraId="00000007">
            <w:pPr>
              <w:pageBreakBefore w:val="0"/>
              <w:spacing w:line="240" w:lineRule="auto"/>
              <w:ind w:left="2127" w:hanging="2160"/>
              <w:rPr>
                <w:sz w:val="18"/>
                <w:szCs w:val="18"/>
              </w:rPr>
            </w:pPr>
            <w:r w:rsidDel="00000000" w:rsidR="00000000" w:rsidRPr="00000000">
              <w:rPr>
                <w:sz w:val="18"/>
                <w:szCs w:val="18"/>
                <w:rtl w:val="0"/>
              </w:rPr>
              <w:t xml:space="preserve">Youth Woker </w:t>
            </w:r>
          </w:p>
        </w:tc>
      </w:tr>
      <w:tr>
        <w:trPr>
          <w:cantSplit w:val="0"/>
          <w:tblHeader w:val="0"/>
        </w:trPr>
        <w:tc>
          <w:tcPr>
            <w:shd w:fill="1c4587" w:val="clear"/>
          </w:tcPr>
          <w:p w:rsidR="00000000" w:rsidDel="00000000" w:rsidP="00000000" w:rsidRDefault="00000000" w:rsidRPr="00000000" w14:paraId="00000008">
            <w:pPr>
              <w:pageBreakBefore w:val="0"/>
              <w:spacing w:line="240" w:lineRule="auto"/>
              <w:rPr>
                <w:b w:val="1"/>
                <w:color w:val="ffffff"/>
                <w:sz w:val="18"/>
                <w:szCs w:val="18"/>
              </w:rPr>
            </w:pPr>
            <w:r w:rsidDel="00000000" w:rsidR="00000000" w:rsidRPr="00000000">
              <w:rPr>
                <w:b w:val="1"/>
                <w:color w:val="ffffff"/>
                <w:sz w:val="18"/>
                <w:szCs w:val="18"/>
                <w:rtl w:val="0"/>
              </w:rPr>
              <w:t xml:space="preserve">Responsible to:</w:t>
            </w:r>
          </w:p>
        </w:tc>
        <w:tc>
          <w:tcPr/>
          <w:p w:rsidR="00000000" w:rsidDel="00000000" w:rsidP="00000000" w:rsidRDefault="00000000" w:rsidRPr="00000000" w14:paraId="00000009">
            <w:pPr>
              <w:pageBreakBefore w:val="0"/>
              <w:pBdr>
                <w:top w:color="auto" w:space="0" w:sz="0" w:val="none"/>
                <w:left w:color="auto" w:space="0" w:sz="0" w:val="none"/>
                <w:bottom w:color="auto" w:space="0" w:sz="0" w:val="none"/>
                <w:right w:color="auto" w:space="0" w:sz="0" w:val="none"/>
                <w:between w:color="auto" w:space="0" w:sz="0" w:val="none"/>
              </w:pBdr>
              <w:rPr>
                <w:sz w:val="18"/>
                <w:szCs w:val="18"/>
              </w:rPr>
            </w:pPr>
            <w:r w:rsidDel="00000000" w:rsidR="00000000" w:rsidRPr="00000000">
              <w:rPr>
                <w:sz w:val="18"/>
                <w:szCs w:val="18"/>
                <w:rtl w:val="0"/>
              </w:rPr>
              <w:t xml:space="preserve">Principal &amp; Senior Leader responsible for Hauora</w:t>
            </w:r>
          </w:p>
          <w:p w:rsidR="00000000" w:rsidDel="00000000" w:rsidP="00000000" w:rsidRDefault="00000000" w:rsidRPr="00000000" w14:paraId="0000000A">
            <w:pPr>
              <w:pageBreakBefore w:val="0"/>
              <w:spacing w:line="240" w:lineRule="auto"/>
              <w:rPr>
                <w:b w:val="1"/>
                <w:sz w:val="18"/>
                <w:szCs w:val="18"/>
              </w:rPr>
            </w:pPr>
            <w:r w:rsidDel="00000000" w:rsidR="00000000" w:rsidRPr="00000000">
              <w:rPr>
                <w:rtl w:val="0"/>
              </w:rPr>
            </w:r>
          </w:p>
        </w:tc>
      </w:tr>
      <w:tr>
        <w:trPr>
          <w:cantSplit w:val="0"/>
          <w:tblHeader w:val="0"/>
        </w:trPr>
        <w:tc>
          <w:tcPr>
            <w:shd w:fill="1c4587" w:val="clear"/>
          </w:tcPr>
          <w:p w:rsidR="00000000" w:rsidDel="00000000" w:rsidP="00000000" w:rsidRDefault="00000000" w:rsidRPr="00000000" w14:paraId="0000000B">
            <w:pPr>
              <w:pageBreakBefore w:val="0"/>
              <w:spacing w:line="240" w:lineRule="auto"/>
              <w:rPr>
                <w:b w:val="1"/>
                <w:color w:val="ffffff"/>
                <w:sz w:val="18"/>
                <w:szCs w:val="18"/>
              </w:rPr>
            </w:pPr>
            <w:r w:rsidDel="00000000" w:rsidR="00000000" w:rsidRPr="00000000">
              <w:rPr>
                <w:b w:val="1"/>
                <w:color w:val="ffffff"/>
                <w:sz w:val="18"/>
                <w:szCs w:val="18"/>
                <w:rtl w:val="0"/>
              </w:rPr>
              <w:t xml:space="preserve">Working Relationships:</w:t>
            </w:r>
          </w:p>
        </w:tc>
        <w:tc>
          <w:tcPr/>
          <w:p w:rsidR="00000000" w:rsidDel="00000000" w:rsidP="00000000" w:rsidRDefault="00000000" w:rsidRPr="00000000" w14:paraId="0000000C">
            <w:pPr>
              <w:pageBreakBefore w:val="0"/>
              <w:pBdr>
                <w:top w:color="auto" w:space="0" w:sz="0" w:val="none"/>
                <w:left w:color="auto" w:space="0" w:sz="0" w:val="none"/>
                <w:bottom w:color="auto" w:space="0" w:sz="0" w:val="none"/>
                <w:right w:color="auto" w:space="0" w:sz="0" w:val="none"/>
                <w:between w:color="auto" w:space="0" w:sz="0" w:val="none"/>
              </w:pBdr>
              <w:ind w:left="0" w:firstLine="0"/>
              <w:rPr>
                <w:sz w:val="2"/>
                <w:szCs w:val="2"/>
              </w:rPr>
            </w:pPr>
            <w:r w:rsidDel="00000000" w:rsidR="00000000" w:rsidRPr="00000000">
              <w:rPr>
                <w:sz w:val="2"/>
                <w:szCs w:val="2"/>
                <w:rtl w:val="0"/>
              </w:rPr>
              <w:t xml:space="preserve">,</w:t>
            </w:r>
          </w:p>
          <w:p w:rsidR="00000000" w:rsidDel="00000000" w:rsidP="00000000" w:rsidRDefault="00000000" w:rsidRPr="00000000" w14:paraId="0000000D">
            <w:pPr>
              <w:pageBreakBefore w:val="0"/>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sz w:val="18"/>
                <w:szCs w:val="18"/>
              </w:rPr>
            </w:pPr>
            <w:r w:rsidDel="00000000" w:rsidR="00000000" w:rsidRPr="00000000">
              <w:rPr>
                <w:sz w:val="18"/>
                <w:szCs w:val="18"/>
                <w:rtl w:val="0"/>
              </w:rPr>
              <w:t xml:space="preserve">Wellness team</w:t>
            </w:r>
          </w:p>
          <w:p w:rsidR="00000000" w:rsidDel="00000000" w:rsidP="00000000" w:rsidRDefault="00000000" w:rsidRPr="00000000" w14:paraId="0000000E">
            <w:pPr>
              <w:pageBreakBefore w:val="0"/>
              <w:numPr>
                <w:ilvl w:val="1"/>
                <w:numId w:val="3"/>
              </w:numPr>
              <w:pBdr>
                <w:top w:color="auto" w:space="0" w:sz="0" w:val="none"/>
                <w:left w:color="auto" w:space="0" w:sz="0" w:val="none"/>
                <w:bottom w:color="auto" w:space="0" w:sz="0" w:val="none"/>
                <w:right w:color="auto" w:space="0" w:sz="0" w:val="none"/>
                <w:between w:color="auto" w:space="0" w:sz="0" w:val="none"/>
              </w:pBdr>
              <w:ind w:left="1440" w:hanging="360"/>
              <w:rPr>
                <w:sz w:val="18"/>
                <w:szCs w:val="18"/>
              </w:rPr>
            </w:pPr>
            <w:r w:rsidDel="00000000" w:rsidR="00000000" w:rsidRPr="00000000">
              <w:rPr>
                <w:sz w:val="18"/>
                <w:szCs w:val="18"/>
                <w:rtl w:val="0"/>
              </w:rPr>
              <w:t xml:space="preserve">nurse </w:t>
            </w:r>
          </w:p>
          <w:p w:rsidR="00000000" w:rsidDel="00000000" w:rsidP="00000000" w:rsidRDefault="00000000" w:rsidRPr="00000000" w14:paraId="0000000F">
            <w:pPr>
              <w:pageBreakBefore w:val="0"/>
              <w:numPr>
                <w:ilvl w:val="1"/>
                <w:numId w:val="3"/>
              </w:numPr>
              <w:pBdr>
                <w:top w:color="auto" w:space="0" w:sz="0" w:val="none"/>
                <w:left w:color="auto" w:space="0" w:sz="0" w:val="none"/>
                <w:bottom w:color="auto" w:space="0" w:sz="0" w:val="none"/>
                <w:right w:color="auto" w:space="0" w:sz="0" w:val="none"/>
                <w:between w:color="auto" w:space="0" w:sz="0" w:val="none"/>
              </w:pBdr>
              <w:ind w:left="1440" w:hanging="360"/>
              <w:rPr>
                <w:sz w:val="18"/>
                <w:szCs w:val="18"/>
              </w:rPr>
            </w:pPr>
            <w:r w:rsidDel="00000000" w:rsidR="00000000" w:rsidRPr="00000000">
              <w:rPr>
                <w:sz w:val="18"/>
                <w:szCs w:val="18"/>
                <w:rtl w:val="0"/>
              </w:rPr>
              <w:t xml:space="preserve">counsellors </w:t>
            </w:r>
          </w:p>
          <w:p w:rsidR="00000000" w:rsidDel="00000000" w:rsidP="00000000" w:rsidRDefault="00000000" w:rsidRPr="00000000" w14:paraId="00000010">
            <w:pPr>
              <w:pageBreakBefore w:val="0"/>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sz w:val="18"/>
                <w:szCs w:val="18"/>
                <w:u w:val="none"/>
              </w:rPr>
            </w:pPr>
            <w:r w:rsidDel="00000000" w:rsidR="00000000" w:rsidRPr="00000000">
              <w:rPr>
                <w:sz w:val="18"/>
                <w:szCs w:val="18"/>
                <w:rtl w:val="0"/>
              </w:rPr>
              <w:t xml:space="preserve">Ako Leaders</w:t>
            </w:r>
          </w:p>
          <w:p w:rsidR="00000000" w:rsidDel="00000000" w:rsidP="00000000" w:rsidRDefault="00000000" w:rsidRPr="00000000" w14:paraId="00000011">
            <w:pPr>
              <w:pageBreakBefore w:val="0"/>
              <w:numPr>
                <w:ilvl w:val="0"/>
                <w:numId w:val="3"/>
              </w:numPr>
              <w:pBdr>
                <w:top w:color="auto" w:space="0" w:sz="0" w:val="none"/>
                <w:left w:color="auto" w:space="0" w:sz="0" w:val="none"/>
                <w:bottom w:color="auto" w:space="0" w:sz="0" w:val="none"/>
                <w:right w:color="auto" w:space="0" w:sz="0" w:val="none"/>
                <w:between w:color="auto" w:space="0" w:sz="0" w:val="none"/>
              </w:pBdr>
              <w:ind w:left="720" w:hanging="360"/>
              <w:rPr>
                <w:sz w:val="18"/>
                <w:szCs w:val="18"/>
                <w:u w:val="none"/>
              </w:rPr>
            </w:pPr>
            <w:r w:rsidDel="00000000" w:rsidR="00000000" w:rsidRPr="00000000">
              <w:rPr>
                <w:sz w:val="18"/>
                <w:szCs w:val="18"/>
                <w:rtl w:val="0"/>
              </w:rPr>
              <w:t xml:space="preserve">Whānau teams </w:t>
            </w:r>
          </w:p>
        </w:tc>
      </w:tr>
      <w:tr>
        <w:trPr>
          <w:cantSplit w:val="0"/>
          <w:tblHeader w:val="0"/>
        </w:trPr>
        <w:tc>
          <w:tcPr>
            <w:shd w:fill="1c4587" w:val="clear"/>
          </w:tcPr>
          <w:p w:rsidR="00000000" w:rsidDel="00000000" w:rsidP="00000000" w:rsidRDefault="00000000" w:rsidRPr="00000000" w14:paraId="00000012">
            <w:pPr>
              <w:pageBreakBefore w:val="0"/>
              <w:spacing w:line="240" w:lineRule="auto"/>
              <w:rPr>
                <w:b w:val="1"/>
                <w:color w:val="ffffff"/>
                <w:sz w:val="18"/>
                <w:szCs w:val="18"/>
              </w:rPr>
            </w:pPr>
            <w:r w:rsidDel="00000000" w:rsidR="00000000" w:rsidRPr="00000000">
              <w:rPr>
                <w:b w:val="1"/>
                <w:color w:val="ffffff"/>
                <w:sz w:val="18"/>
                <w:szCs w:val="18"/>
                <w:rtl w:val="0"/>
              </w:rPr>
              <w:t xml:space="preserve">Purpose of the Position:</w:t>
            </w:r>
          </w:p>
        </w:tc>
        <w:tc>
          <w:tcPr/>
          <w:p w:rsidR="00000000" w:rsidDel="00000000" w:rsidP="00000000" w:rsidRDefault="00000000" w:rsidRPr="00000000" w14:paraId="00000013">
            <w:pPr>
              <w:pageBreakBefore w:val="0"/>
              <w:spacing w:line="240" w:lineRule="auto"/>
              <w:rPr>
                <w:sz w:val="18"/>
                <w:szCs w:val="18"/>
              </w:rPr>
            </w:pPr>
            <w:r w:rsidDel="00000000" w:rsidR="00000000" w:rsidRPr="00000000">
              <w:rPr>
                <w:sz w:val="18"/>
                <w:szCs w:val="18"/>
                <w:rtl w:val="0"/>
              </w:rPr>
              <w:t xml:space="preserve">The primary role of the Community Liaison/ Social Worker is to</w:t>
            </w:r>
            <w:r w:rsidDel="00000000" w:rsidR="00000000" w:rsidRPr="00000000">
              <w:rPr>
                <w:sz w:val="20"/>
                <w:szCs w:val="20"/>
                <w:rtl w:val="0"/>
              </w:rPr>
              <w:t xml:space="preserve"> </w:t>
            </w:r>
            <w:r w:rsidDel="00000000" w:rsidR="00000000" w:rsidRPr="00000000">
              <w:rPr>
                <w:sz w:val="18"/>
                <w:szCs w:val="18"/>
                <w:rtl w:val="0"/>
              </w:rPr>
              <w:t xml:space="preserve">provide wellbeing and wrap-around social support to Rolleston College learners and their home whānau. </w:t>
            </w:r>
          </w:p>
        </w:tc>
      </w:tr>
      <w:tr>
        <w:trPr>
          <w:cantSplit w:val="0"/>
          <w:trHeight w:val="180" w:hRule="atLeast"/>
          <w:tblHeader w:val="0"/>
        </w:trPr>
        <w:tc>
          <w:tcPr>
            <w:shd w:fill="1c4587" w:val="clear"/>
          </w:tcPr>
          <w:p w:rsidR="00000000" w:rsidDel="00000000" w:rsidP="00000000" w:rsidRDefault="00000000" w:rsidRPr="00000000" w14:paraId="00000014">
            <w:pPr>
              <w:pageBreakBefore w:val="0"/>
              <w:spacing w:line="240" w:lineRule="auto"/>
              <w:rPr>
                <w:b w:val="1"/>
                <w:color w:val="ffffff"/>
                <w:sz w:val="18"/>
                <w:szCs w:val="18"/>
              </w:rPr>
            </w:pPr>
            <w:r w:rsidDel="00000000" w:rsidR="00000000" w:rsidRPr="00000000">
              <w:rPr>
                <w:b w:val="1"/>
                <w:color w:val="ffffff"/>
                <w:sz w:val="18"/>
                <w:szCs w:val="18"/>
                <w:rtl w:val="0"/>
              </w:rPr>
              <w:t xml:space="preserve">Key Outcomes</w:t>
            </w:r>
          </w:p>
        </w:tc>
        <w:tc>
          <w:tcPr/>
          <w:p w:rsidR="00000000" w:rsidDel="00000000" w:rsidP="00000000" w:rsidRDefault="00000000" w:rsidRPr="00000000" w14:paraId="00000015">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sz w:val="18"/>
                <w:szCs w:val="18"/>
                <w:u w:val="none"/>
              </w:rPr>
            </w:pPr>
            <w:r w:rsidDel="00000000" w:rsidR="00000000" w:rsidRPr="00000000">
              <w:rPr>
                <w:sz w:val="18"/>
                <w:szCs w:val="18"/>
                <w:rtl w:val="0"/>
              </w:rPr>
              <w:t xml:space="preserve">To provide support, within the college and externally for learners who are accessing our extended hauora/wellbeing services</w:t>
            </w:r>
          </w:p>
          <w:p w:rsidR="00000000" w:rsidDel="00000000" w:rsidP="00000000" w:rsidRDefault="00000000" w:rsidRPr="00000000" w14:paraId="00000016">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sz w:val="18"/>
                <w:szCs w:val="18"/>
                <w:u w:val="none"/>
              </w:rPr>
            </w:pPr>
            <w:r w:rsidDel="00000000" w:rsidR="00000000" w:rsidRPr="00000000">
              <w:rPr>
                <w:sz w:val="18"/>
                <w:szCs w:val="18"/>
                <w:rtl w:val="0"/>
              </w:rPr>
              <w:t xml:space="preserve">To empower learners through building strengths, resilience, improving life skills, improving home whānau relationships and reducing antisocial behaviour.</w:t>
            </w:r>
          </w:p>
          <w:p w:rsidR="00000000" w:rsidDel="00000000" w:rsidP="00000000" w:rsidRDefault="00000000" w:rsidRPr="00000000" w14:paraId="00000017">
            <w:pPr>
              <w:pageBreakBefore w:val="0"/>
              <w:numPr>
                <w:ilvl w:val="0"/>
                <w:numId w:val="5"/>
              </w:numPr>
              <w:pBdr>
                <w:top w:color="auto" w:space="0" w:sz="0" w:val="none"/>
                <w:left w:color="auto" w:space="0" w:sz="0" w:val="none"/>
                <w:bottom w:color="auto" w:space="0" w:sz="0" w:val="none"/>
                <w:right w:color="auto" w:space="0" w:sz="0" w:val="none"/>
                <w:between w:color="auto" w:space="0" w:sz="0" w:val="none"/>
              </w:pBdr>
              <w:ind w:left="720" w:hanging="360"/>
              <w:rPr>
                <w:sz w:val="18"/>
                <w:szCs w:val="18"/>
                <w:u w:val="none"/>
              </w:rPr>
            </w:pPr>
            <w:r w:rsidDel="00000000" w:rsidR="00000000" w:rsidRPr="00000000">
              <w:rPr>
                <w:sz w:val="18"/>
                <w:szCs w:val="18"/>
                <w:rtl w:val="0"/>
              </w:rPr>
              <w:t xml:space="preserve">To facilitate/support school-based resilience and wellbeing programmes.</w:t>
            </w:r>
            <w:r w:rsidDel="00000000" w:rsidR="00000000" w:rsidRPr="00000000">
              <w:rPr>
                <w:rtl w:val="0"/>
              </w:rPr>
            </w:r>
          </w:p>
        </w:tc>
      </w:tr>
    </w:tbl>
    <w:p w:rsidR="00000000" w:rsidDel="00000000" w:rsidP="00000000" w:rsidRDefault="00000000" w:rsidRPr="00000000" w14:paraId="00000018">
      <w:pPr>
        <w:pageBreakBefore w:val="0"/>
        <w:spacing w:line="240" w:lineRule="auto"/>
        <w:rPr>
          <w:b w:val="1"/>
          <w:sz w:val="20"/>
          <w:szCs w:val="20"/>
        </w:rPr>
      </w:pPr>
      <w:r w:rsidDel="00000000" w:rsidR="00000000" w:rsidRPr="00000000">
        <w:rPr>
          <w:rtl w:val="0"/>
        </w:rPr>
      </w:r>
    </w:p>
    <w:p w:rsidR="00000000" w:rsidDel="00000000" w:rsidP="00000000" w:rsidRDefault="00000000" w:rsidRPr="00000000" w14:paraId="00000019">
      <w:pPr>
        <w:pageBreakBefore w:val="0"/>
        <w:spacing w:line="240" w:lineRule="auto"/>
        <w:rPr>
          <w:sz w:val="20"/>
          <w:szCs w:val="20"/>
        </w:rPr>
      </w:pPr>
      <w:r w:rsidDel="00000000" w:rsidR="00000000" w:rsidRPr="00000000">
        <w:rPr>
          <w:b w:val="1"/>
          <w:sz w:val="20"/>
          <w:szCs w:val="20"/>
          <w:rtl w:val="0"/>
        </w:rPr>
        <w:t xml:space="preserve">Professional Responsibility:</w:t>
      </w:r>
      <w:r w:rsidDel="00000000" w:rsidR="00000000" w:rsidRPr="00000000">
        <w:rPr>
          <w:rtl w:val="0"/>
        </w:rPr>
      </w:r>
    </w:p>
    <w:tbl>
      <w:tblPr>
        <w:tblStyle w:val="Table2"/>
        <w:tblW w:w="10365.0" w:type="dxa"/>
        <w:jc w:val="left"/>
        <w:tblInd w:w="-3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60"/>
        <w:gridCol w:w="7605"/>
        <w:tblGridChange w:id="0">
          <w:tblGrid>
            <w:gridCol w:w="2760"/>
            <w:gridCol w:w="7605"/>
          </w:tblGrid>
        </w:tblGridChange>
      </w:tblGrid>
      <w:tr>
        <w:trPr>
          <w:cantSplit w:val="0"/>
          <w:tblHeader w:val="0"/>
        </w:trPr>
        <w:tc>
          <w:tcPr>
            <w:shd w:fill="1c4587"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spacing w:line="240" w:lineRule="auto"/>
              <w:rPr>
                <w:b w:val="1"/>
                <w:color w:val="f3f3f3"/>
                <w:sz w:val="20"/>
                <w:szCs w:val="20"/>
              </w:rPr>
            </w:pPr>
            <w:r w:rsidDel="00000000" w:rsidR="00000000" w:rsidRPr="00000000">
              <w:rPr>
                <w:b w:val="1"/>
                <w:color w:val="f3f3f3"/>
                <w:sz w:val="20"/>
                <w:szCs w:val="20"/>
                <w:rtl w:val="0"/>
              </w:rPr>
              <w:t xml:space="preserve">Key Areas</w:t>
            </w:r>
          </w:p>
        </w:tc>
        <w:tc>
          <w:tcPr>
            <w:shd w:fill="1c4587" w:val="clear"/>
            <w:tcMar>
              <w:top w:w="100.0" w:type="dxa"/>
              <w:left w:w="100.0" w:type="dxa"/>
              <w:bottom w:w="100.0" w:type="dxa"/>
              <w:right w:w="100.0" w:type="dxa"/>
            </w:tcMar>
            <w:vAlign w:val="top"/>
          </w:tcPr>
          <w:p w:rsidR="00000000" w:rsidDel="00000000" w:rsidP="00000000" w:rsidRDefault="00000000" w:rsidRPr="00000000" w14:paraId="0000001B">
            <w:pPr>
              <w:pageBreakBefore w:val="0"/>
              <w:widowControl w:val="0"/>
              <w:spacing w:line="240" w:lineRule="auto"/>
              <w:rPr>
                <w:b w:val="1"/>
                <w:color w:val="f3f3f3"/>
                <w:sz w:val="20"/>
                <w:szCs w:val="20"/>
              </w:rPr>
            </w:pPr>
            <w:r w:rsidDel="00000000" w:rsidR="00000000" w:rsidRPr="00000000">
              <w:rPr>
                <w:b w:val="1"/>
                <w:color w:val="f3f3f3"/>
                <w:sz w:val="20"/>
                <w:szCs w:val="20"/>
                <w:rtl w:val="0"/>
              </w:rPr>
              <w:t xml:space="preserve">Key Responsibilities</w:t>
            </w:r>
          </w:p>
        </w:tc>
      </w:tr>
      <w:tr>
        <w:trPr>
          <w:cantSplit w:val="0"/>
          <w:trHeight w:val="12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pageBreakBefore w:val="0"/>
              <w:rPr>
                <w:sz w:val="18"/>
                <w:szCs w:val="18"/>
              </w:rPr>
            </w:pPr>
            <w:r w:rsidDel="00000000" w:rsidR="00000000" w:rsidRPr="00000000">
              <w:rPr>
                <w:sz w:val="18"/>
                <w:szCs w:val="18"/>
                <w:rtl w:val="0"/>
              </w:rPr>
              <w:t xml:space="preserve">Learner assessment and response management in consultation with the wellness team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rPr>
                <w:sz w:val="18"/>
                <w:szCs w:val="18"/>
              </w:rPr>
            </w:pPr>
            <w:r w:rsidDel="00000000" w:rsidR="00000000" w:rsidRPr="00000000">
              <w:rPr>
                <w:sz w:val="18"/>
                <w:szCs w:val="18"/>
                <w:rtl w:val="0"/>
              </w:rPr>
              <w:t xml:space="preserve">To provide accurate and appropriate assessment of the needs and strengths of learners referred for assistance, in consultation with home whānau:</w:t>
            </w:r>
          </w:p>
          <w:p w:rsidR="00000000" w:rsidDel="00000000" w:rsidP="00000000" w:rsidRDefault="00000000" w:rsidRPr="00000000" w14:paraId="0000001E">
            <w:pPr>
              <w:pageBreakBefore w:val="0"/>
              <w:widowControl w:val="0"/>
              <w:numPr>
                <w:ilvl w:val="0"/>
                <w:numId w:val="1"/>
              </w:numPr>
              <w:spacing w:after="10" w:line="240" w:lineRule="auto"/>
              <w:ind w:left="720" w:hanging="360"/>
              <w:rPr>
                <w:sz w:val="18"/>
                <w:szCs w:val="18"/>
              </w:rPr>
            </w:pPr>
            <w:r w:rsidDel="00000000" w:rsidR="00000000" w:rsidRPr="00000000">
              <w:rPr>
                <w:sz w:val="18"/>
                <w:szCs w:val="18"/>
                <w:rtl w:val="0"/>
              </w:rPr>
              <w:t xml:space="preserve">Work with the existing team and processes in place.</w:t>
            </w:r>
          </w:p>
          <w:p w:rsidR="00000000" w:rsidDel="00000000" w:rsidP="00000000" w:rsidRDefault="00000000" w:rsidRPr="00000000" w14:paraId="0000001F">
            <w:pPr>
              <w:pageBreakBefore w:val="0"/>
              <w:widowControl w:val="0"/>
              <w:numPr>
                <w:ilvl w:val="0"/>
                <w:numId w:val="1"/>
              </w:numPr>
              <w:spacing w:after="10" w:line="240" w:lineRule="auto"/>
              <w:ind w:left="720" w:hanging="360"/>
              <w:rPr>
                <w:sz w:val="18"/>
                <w:szCs w:val="18"/>
              </w:rPr>
            </w:pPr>
            <w:r w:rsidDel="00000000" w:rsidR="00000000" w:rsidRPr="00000000">
              <w:rPr>
                <w:sz w:val="18"/>
                <w:szCs w:val="18"/>
                <w:rtl w:val="0"/>
              </w:rPr>
              <w:t xml:space="preserve">Establish and further develop processes to support learners within the school community and home whānau.</w:t>
            </w:r>
          </w:p>
          <w:p w:rsidR="00000000" w:rsidDel="00000000" w:rsidP="00000000" w:rsidRDefault="00000000" w:rsidRPr="00000000" w14:paraId="00000020">
            <w:pPr>
              <w:pageBreakBefore w:val="0"/>
              <w:widowControl w:val="0"/>
              <w:numPr>
                <w:ilvl w:val="0"/>
                <w:numId w:val="1"/>
              </w:numPr>
              <w:spacing w:after="10" w:line="240" w:lineRule="auto"/>
              <w:ind w:left="720" w:hanging="360"/>
              <w:rPr>
                <w:sz w:val="18"/>
                <w:szCs w:val="18"/>
              </w:rPr>
            </w:pPr>
            <w:r w:rsidDel="00000000" w:rsidR="00000000" w:rsidRPr="00000000">
              <w:rPr>
                <w:sz w:val="18"/>
                <w:szCs w:val="18"/>
                <w:rtl w:val="0"/>
              </w:rPr>
              <w:t xml:space="preserve">Identify and negotiate plans with all relevant parties to the situation, including school staff, home whānau and external service providers.</w:t>
            </w:r>
          </w:p>
          <w:p w:rsidR="00000000" w:rsidDel="00000000" w:rsidP="00000000" w:rsidRDefault="00000000" w:rsidRPr="00000000" w14:paraId="00000021">
            <w:pPr>
              <w:pageBreakBefore w:val="0"/>
              <w:numPr>
                <w:ilvl w:val="0"/>
                <w:numId w:val="1"/>
              </w:numPr>
              <w:ind w:left="720" w:hanging="360"/>
              <w:rPr>
                <w:sz w:val="18"/>
                <w:szCs w:val="18"/>
              </w:rPr>
            </w:pPr>
            <w:r w:rsidDel="00000000" w:rsidR="00000000" w:rsidRPr="00000000">
              <w:rPr>
                <w:sz w:val="18"/>
                <w:szCs w:val="18"/>
                <w:rtl w:val="0"/>
              </w:rPr>
              <w:t xml:space="preserve">Ensure relationships amongst key parties are formalised and co-ordinated.</w:t>
            </w:r>
          </w:p>
          <w:p w:rsidR="00000000" w:rsidDel="00000000" w:rsidP="00000000" w:rsidRDefault="00000000" w:rsidRPr="00000000" w14:paraId="00000022">
            <w:pPr>
              <w:pageBreakBefore w:val="0"/>
              <w:numPr>
                <w:ilvl w:val="0"/>
                <w:numId w:val="1"/>
              </w:numPr>
              <w:ind w:left="720" w:hanging="360"/>
              <w:rPr>
                <w:sz w:val="18"/>
                <w:szCs w:val="18"/>
              </w:rPr>
            </w:pPr>
            <w:r w:rsidDel="00000000" w:rsidR="00000000" w:rsidRPr="00000000">
              <w:rPr>
                <w:sz w:val="18"/>
                <w:szCs w:val="18"/>
                <w:rtl w:val="0"/>
              </w:rPr>
              <w:t xml:space="preserve">Monitor, review and maintain accurate records for the implementation of a plan with a structured timeline.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widowControl w:val="0"/>
              <w:spacing w:line="240" w:lineRule="auto"/>
              <w:rPr>
                <w:sz w:val="18"/>
                <w:szCs w:val="18"/>
              </w:rPr>
            </w:pPr>
            <w:r w:rsidDel="00000000" w:rsidR="00000000" w:rsidRPr="00000000">
              <w:rPr>
                <w:sz w:val="18"/>
                <w:szCs w:val="18"/>
                <w:rtl w:val="0"/>
              </w:rPr>
              <w:t xml:space="preserve">Community Support</w:t>
            </w:r>
          </w:p>
          <w:p w:rsidR="00000000" w:rsidDel="00000000" w:rsidP="00000000" w:rsidRDefault="00000000" w:rsidRPr="00000000" w14:paraId="00000024">
            <w:pPr>
              <w:pageBreakBefore w:val="0"/>
              <w:widowControl w:val="0"/>
              <w:spacing w:line="240" w:lineRule="auto"/>
              <w:rPr>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rPr>
                <w:sz w:val="18"/>
                <w:szCs w:val="18"/>
              </w:rPr>
            </w:pPr>
            <w:r w:rsidDel="00000000" w:rsidR="00000000" w:rsidRPr="00000000">
              <w:rPr>
                <w:sz w:val="18"/>
                <w:szCs w:val="18"/>
                <w:rtl w:val="0"/>
              </w:rPr>
              <w:t xml:space="preserve">To provide purposeful, meaningful, and effective assistance to learners and home whānau by providing direction and support for all involved with the learner at the centre: </w:t>
            </w:r>
          </w:p>
          <w:p w:rsidR="00000000" w:rsidDel="00000000" w:rsidP="00000000" w:rsidRDefault="00000000" w:rsidRPr="00000000" w14:paraId="00000026">
            <w:pPr>
              <w:pageBreakBefore w:val="0"/>
              <w:numPr>
                <w:ilvl w:val="0"/>
                <w:numId w:val="6"/>
              </w:numPr>
              <w:ind w:left="720" w:hanging="360"/>
              <w:rPr>
                <w:sz w:val="18"/>
                <w:szCs w:val="18"/>
              </w:rPr>
            </w:pPr>
            <w:r w:rsidDel="00000000" w:rsidR="00000000" w:rsidRPr="00000000">
              <w:rPr>
                <w:sz w:val="18"/>
                <w:szCs w:val="18"/>
                <w:rtl w:val="0"/>
              </w:rPr>
              <w:t xml:space="preserve">Establish appropriate working relationships amongst learners, home whānau, self, school, staff, and external agencies involved in the situation, taking into account individual differences and the cultural and social context of the family. </w:t>
            </w:r>
          </w:p>
          <w:p w:rsidR="00000000" w:rsidDel="00000000" w:rsidP="00000000" w:rsidRDefault="00000000" w:rsidRPr="00000000" w14:paraId="00000027">
            <w:pPr>
              <w:pageBreakBefore w:val="0"/>
              <w:numPr>
                <w:ilvl w:val="0"/>
                <w:numId w:val="6"/>
              </w:numPr>
              <w:ind w:left="720" w:hanging="360"/>
              <w:rPr>
                <w:sz w:val="18"/>
                <w:szCs w:val="18"/>
              </w:rPr>
            </w:pPr>
            <w:r w:rsidDel="00000000" w:rsidR="00000000" w:rsidRPr="00000000">
              <w:rPr>
                <w:sz w:val="18"/>
                <w:szCs w:val="18"/>
                <w:rtl w:val="0"/>
              </w:rPr>
              <w:t xml:space="preserve">Apply relevant knowledge, skills and attitudes when engaging in a professional working relationship with stakeholders, as part of the negotiated response plan.</w:t>
            </w:r>
          </w:p>
          <w:p w:rsidR="00000000" w:rsidDel="00000000" w:rsidP="00000000" w:rsidRDefault="00000000" w:rsidRPr="00000000" w14:paraId="00000028">
            <w:pPr>
              <w:pageBreakBefore w:val="0"/>
              <w:numPr>
                <w:ilvl w:val="0"/>
                <w:numId w:val="6"/>
              </w:numPr>
              <w:ind w:left="720" w:hanging="360"/>
              <w:rPr>
                <w:sz w:val="18"/>
                <w:szCs w:val="18"/>
              </w:rPr>
            </w:pPr>
            <w:r w:rsidDel="00000000" w:rsidR="00000000" w:rsidRPr="00000000">
              <w:rPr>
                <w:sz w:val="18"/>
                <w:szCs w:val="18"/>
                <w:rtl w:val="0"/>
              </w:rPr>
              <w:t xml:space="preserve">Investigate existing responses to the high priority issues and promote and refer to existing programmes where appropriate. </w:t>
            </w:r>
          </w:p>
          <w:p w:rsidR="00000000" w:rsidDel="00000000" w:rsidP="00000000" w:rsidRDefault="00000000" w:rsidRPr="00000000" w14:paraId="00000029">
            <w:pPr>
              <w:pageBreakBefore w:val="0"/>
              <w:numPr>
                <w:ilvl w:val="0"/>
                <w:numId w:val="6"/>
              </w:numPr>
              <w:ind w:left="720" w:hanging="360"/>
              <w:rPr>
                <w:sz w:val="18"/>
                <w:szCs w:val="18"/>
              </w:rPr>
            </w:pPr>
            <w:r w:rsidDel="00000000" w:rsidR="00000000" w:rsidRPr="00000000">
              <w:rPr>
                <w:sz w:val="18"/>
                <w:szCs w:val="18"/>
                <w:rtl w:val="0"/>
              </w:rPr>
              <w:t xml:space="preserve">Facilitate the development of new programmes where there are unmet, high priority needs. Facilitate and evaluate the delivery of programmes and maximise the effectiveness of programmes. </w:t>
            </w:r>
          </w:p>
          <w:p w:rsidR="00000000" w:rsidDel="00000000" w:rsidP="00000000" w:rsidRDefault="00000000" w:rsidRPr="00000000" w14:paraId="0000002A">
            <w:pPr>
              <w:pageBreakBefore w:val="0"/>
              <w:numPr>
                <w:ilvl w:val="0"/>
                <w:numId w:val="6"/>
              </w:numPr>
              <w:ind w:left="720" w:hanging="360"/>
              <w:rPr>
                <w:sz w:val="18"/>
                <w:szCs w:val="18"/>
              </w:rPr>
            </w:pPr>
            <w:r w:rsidDel="00000000" w:rsidR="00000000" w:rsidRPr="00000000">
              <w:rPr>
                <w:sz w:val="18"/>
                <w:szCs w:val="18"/>
                <w:rtl w:val="0"/>
              </w:rPr>
              <w:t xml:space="preserve">Complete administration on the digital database. This includes tasks, but is not limited to, using the kamar student management system, CounselPRO, Google Apps for Education suite.</w:t>
            </w:r>
            <w:r w:rsidDel="00000000" w:rsidR="00000000" w:rsidRPr="00000000">
              <w:rPr>
                <w:rtl w:val="0"/>
              </w:rPr>
            </w:r>
          </w:p>
        </w:tc>
      </w:tr>
      <w:tr>
        <w:trPr>
          <w:cantSplit w:val="0"/>
          <w:trHeight w:val="11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line="240" w:lineRule="auto"/>
              <w:rPr>
                <w:sz w:val="18"/>
                <w:szCs w:val="18"/>
              </w:rPr>
            </w:pPr>
            <w:r w:rsidDel="00000000" w:rsidR="00000000" w:rsidRPr="00000000">
              <w:rPr>
                <w:sz w:val="18"/>
                <w:szCs w:val="18"/>
                <w:rtl w:val="0"/>
              </w:rPr>
              <w:t xml:space="preserve">Maintain personal professional competence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rPr>
                <w:sz w:val="18"/>
                <w:szCs w:val="18"/>
              </w:rPr>
            </w:pPr>
            <w:r w:rsidDel="00000000" w:rsidR="00000000" w:rsidRPr="00000000">
              <w:rPr>
                <w:sz w:val="18"/>
                <w:szCs w:val="18"/>
                <w:rtl w:val="0"/>
              </w:rPr>
              <w:t xml:space="preserve">To maximise contribution to the role through on-going professional development: </w:t>
            </w:r>
          </w:p>
          <w:p w:rsidR="00000000" w:rsidDel="00000000" w:rsidP="00000000" w:rsidRDefault="00000000" w:rsidRPr="00000000" w14:paraId="0000002D">
            <w:pPr>
              <w:pageBreakBefore w:val="0"/>
              <w:numPr>
                <w:ilvl w:val="0"/>
                <w:numId w:val="2"/>
              </w:numPr>
              <w:ind w:left="720" w:hanging="360"/>
              <w:rPr>
                <w:sz w:val="18"/>
                <w:szCs w:val="18"/>
              </w:rPr>
            </w:pPr>
            <w:r w:rsidDel="00000000" w:rsidR="00000000" w:rsidRPr="00000000">
              <w:rPr>
                <w:sz w:val="18"/>
                <w:szCs w:val="18"/>
                <w:rtl w:val="0"/>
              </w:rPr>
              <w:t xml:space="preserve">Develop and implement a plan for managing workload, including identification of priorities and strategies for maximising the use of resources, to be reviewed regularly/ </w:t>
            </w:r>
          </w:p>
          <w:p w:rsidR="00000000" w:rsidDel="00000000" w:rsidP="00000000" w:rsidRDefault="00000000" w:rsidRPr="00000000" w14:paraId="0000002E">
            <w:pPr>
              <w:pageBreakBefore w:val="0"/>
              <w:numPr>
                <w:ilvl w:val="0"/>
                <w:numId w:val="2"/>
              </w:numPr>
              <w:ind w:left="720" w:hanging="360"/>
              <w:rPr>
                <w:sz w:val="18"/>
                <w:szCs w:val="18"/>
              </w:rPr>
            </w:pPr>
            <w:r w:rsidDel="00000000" w:rsidR="00000000" w:rsidRPr="00000000">
              <w:rPr>
                <w:sz w:val="18"/>
                <w:szCs w:val="18"/>
                <w:rtl w:val="0"/>
              </w:rPr>
              <w:t xml:space="preserve">Establish and maintain relationships with relevant social service agencies, community organisations and professional groups. </w:t>
            </w:r>
          </w:p>
          <w:p w:rsidR="00000000" w:rsidDel="00000000" w:rsidP="00000000" w:rsidRDefault="00000000" w:rsidRPr="00000000" w14:paraId="0000002F">
            <w:pPr>
              <w:pageBreakBefore w:val="0"/>
              <w:numPr>
                <w:ilvl w:val="0"/>
                <w:numId w:val="2"/>
              </w:numPr>
              <w:ind w:left="720" w:hanging="360"/>
              <w:rPr>
                <w:sz w:val="18"/>
                <w:szCs w:val="18"/>
              </w:rPr>
            </w:pPr>
            <w:r w:rsidDel="00000000" w:rsidR="00000000" w:rsidRPr="00000000">
              <w:rPr>
                <w:sz w:val="18"/>
                <w:szCs w:val="18"/>
                <w:rtl w:val="0"/>
              </w:rPr>
              <w:t xml:space="preserve">Participate in regular supervision sessions and maintain membership of appropriate professional associations (if relevant to the successful applicant).</w:t>
            </w:r>
          </w:p>
          <w:p w:rsidR="00000000" w:rsidDel="00000000" w:rsidP="00000000" w:rsidRDefault="00000000" w:rsidRPr="00000000" w14:paraId="00000030">
            <w:pPr>
              <w:pageBreakBefore w:val="0"/>
              <w:numPr>
                <w:ilvl w:val="0"/>
                <w:numId w:val="2"/>
              </w:numPr>
              <w:ind w:left="720" w:hanging="360"/>
              <w:rPr>
                <w:sz w:val="18"/>
                <w:szCs w:val="18"/>
              </w:rPr>
            </w:pPr>
            <w:r w:rsidDel="00000000" w:rsidR="00000000" w:rsidRPr="00000000">
              <w:rPr>
                <w:sz w:val="18"/>
                <w:szCs w:val="18"/>
                <w:rtl w:val="0"/>
              </w:rPr>
              <w:t xml:space="preserve">Develop personal professional work skills, knowledge and resources relevant to the job.</w:t>
              <w:tab/>
              <w:tab/>
            </w:r>
            <w:r w:rsidDel="00000000" w:rsidR="00000000" w:rsidRPr="00000000">
              <w:rPr>
                <w:rtl w:val="0"/>
              </w:rPr>
            </w:r>
          </w:p>
        </w:tc>
      </w:tr>
      <w:tr>
        <w:trPr>
          <w:cantSplit w:val="0"/>
          <w:trHeight w:val="118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rPr>
                <w:sz w:val="18"/>
                <w:szCs w:val="18"/>
              </w:rPr>
            </w:pPr>
            <w:r w:rsidDel="00000000" w:rsidR="00000000" w:rsidRPr="00000000">
              <w:rPr>
                <w:sz w:val="18"/>
                <w:szCs w:val="18"/>
                <w:rtl w:val="0"/>
              </w:rPr>
              <w:t xml:space="preserve">Coordination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rPr>
                <w:sz w:val="18"/>
                <w:szCs w:val="18"/>
              </w:rPr>
            </w:pPr>
            <w:r w:rsidDel="00000000" w:rsidR="00000000" w:rsidRPr="00000000">
              <w:rPr>
                <w:sz w:val="18"/>
                <w:szCs w:val="18"/>
                <w:rtl w:val="0"/>
              </w:rPr>
              <w:t xml:space="preserve">To establish and maintain relationships which are necessary for the enhancement of the community liaison:</w:t>
            </w:r>
          </w:p>
          <w:p w:rsidR="00000000" w:rsidDel="00000000" w:rsidP="00000000" w:rsidRDefault="00000000" w:rsidRPr="00000000" w14:paraId="00000033">
            <w:pPr>
              <w:pageBreakBefore w:val="0"/>
              <w:numPr>
                <w:ilvl w:val="0"/>
                <w:numId w:val="4"/>
              </w:numPr>
              <w:ind w:left="720" w:hanging="360"/>
              <w:rPr>
                <w:sz w:val="18"/>
                <w:szCs w:val="18"/>
                <w:u w:val="none"/>
              </w:rPr>
            </w:pPr>
            <w:r w:rsidDel="00000000" w:rsidR="00000000" w:rsidRPr="00000000">
              <w:rPr>
                <w:sz w:val="18"/>
                <w:szCs w:val="18"/>
                <w:rtl w:val="0"/>
              </w:rPr>
              <w:t xml:space="preserve">Work with school staff to identify learners at risk, devise appropriate strategies for learners at risk and develop preventative programmes. </w:t>
            </w:r>
          </w:p>
          <w:p w:rsidR="00000000" w:rsidDel="00000000" w:rsidP="00000000" w:rsidRDefault="00000000" w:rsidRPr="00000000" w14:paraId="00000034">
            <w:pPr>
              <w:pageBreakBefore w:val="0"/>
              <w:numPr>
                <w:ilvl w:val="0"/>
                <w:numId w:val="4"/>
              </w:numPr>
              <w:ind w:left="720" w:hanging="360"/>
              <w:rPr>
                <w:sz w:val="18"/>
                <w:szCs w:val="18"/>
                <w:u w:val="none"/>
              </w:rPr>
            </w:pPr>
            <w:r w:rsidDel="00000000" w:rsidR="00000000" w:rsidRPr="00000000">
              <w:rPr>
                <w:sz w:val="18"/>
                <w:szCs w:val="18"/>
                <w:rtl w:val="0"/>
              </w:rPr>
              <w:t xml:space="preserve">Liaise with external agencies, community groups, and relevant other professionals, especially those working with the school(s).  </w:t>
            </w:r>
          </w:p>
          <w:p w:rsidR="00000000" w:rsidDel="00000000" w:rsidP="00000000" w:rsidRDefault="00000000" w:rsidRPr="00000000" w14:paraId="00000035">
            <w:pPr>
              <w:pageBreakBefore w:val="0"/>
              <w:numPr>
                <w:ilvl w:val="0"/>
                <w:numId w:val="4"/>
              </w:numPr>
              <w:ind w:left="720" w:hanging="360"/>
              <w:rPr>
                <w:sz w:val="18"/>
                <w:szCs w:val="18"/>
                <w:u w:val="none"/>
              </w:rPr>
            </w:pPr>
            <w:r w:rsidDel="00000000" w:rsidR="00000000" w:rsidRPr="00000000">
              <w:rPr>
                <w:sz w:val="18"/>
                <w:szCs w:val="18"/>
                <w:rtl w:val="0"/>
              </w:rPr>
              <w:t xml:space="preserve">Work within Rolleston College’s Child Protection Policy.</w:t>
            </w:r>
          </w:p>
          <w:p w:rsidR="00000000" w:rsidDel="00000000" w:rsidP="00000000" w:rsidRDefault="00000000" w:rsidRPr="00000000" w14:paraId="00000036">
            <w:pPr>
              <w:pageBreakBefore w:val="0"/>
              <w:numPr>
                <w:ilvl w:val="0"/>
                <w:numId w:val="4"/>
              </w:numPr>
              <w:ind w:left="720" w:hanging="360"/>
              <w:rPr>
                <w:sz w:val="18"/>
                <w:szCs w:val="18"/>
                <w:u w:val="none"/>
              </w:rPr>
            </w:pPr>
            <w:r w:rsidDel="00000000" w:rsidR="00000000" w:rsidRPr="00000000">
              <w:rPr>
                <w:sz w:val="18"/>
                <w:szCs w:val="18"/>
                <w:rtl w:val="0"/>
              </w:rPr>
              <w:t xml:space="preserve">Actively participate in relevant school-wide activities and local communities where there are direct links to the position.</w:t>
            </w:r>
          </w:p>
        </w:tc>
      </w:tr>
    </w:tbl>
    <w:p w:rsidR="00000000" w:rsidDel="00000000" w:rsidP="00000000" w:rsidRDefault="00000000" w:rsidRPr="00000000" w14:paraId="00000037">
      <w:pPr>
        <w:pageBreakBefore w:val="0"/>
        <w:rPr>
          <w:sz w:val="18"/>
          <w:szCs w:val="18"/>
        </w:rPr>
      </w:pPr>
      <w:r w:rsidDel="00000000" w:rsidR="00000000" w:rsidRPr="00000000">
        <w:rPr>
          <w:sz w:val="18"/>
          <w:szCs w:val="18"/>
          <w:rtl w:val="0"/>
        </w:rPr>
        <w:t xml:space="preserve">This position description is intended to outline the general nature of the work. It is not an exhaustive list of the responsibilities, duties, etc of the position.</w:t>
      </w:r>
    </w:p>
    <w:p w:rsidR="00000000" w:rsidDel="00000000" w:rsidP="00000000" w:rsidRDefault="00000000" w:rsidRPr="00000000" w14:paraId="00000038">
      <w:pPr>
        <w:pageBreakBefore w:val="0"/>
        <w:rPr/>
      </w:pPr>
      <w:r w:rsidDel="00000000" w:rsidR="00000000" w:rsidRPr="00000000">
        <w:rPr>
          <w:rtl w:val="0"/>
        </w:rPr>
      </w:r>
    </w:p>
    <w:sectPr>
      <w:footerReference r:id="rId7" w:type="default"/>
      <w:pgSz w:h="16838" w:w="11906" w:orient="portrait"/>
      <w:pgMar w:bottom="1152" w:top="1152"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pageBreakBefore w:val="0"/>
      <w:jc w:val="right"/>
      <w:rPr>
        <w:sz w:val="18"/>
        <w:szCs w:val="18"/>
      </w:rPr>
    </w:pPr>
    <w:r w:rsidDel="00000000" w:rsidR="00000000" w:rsidRPr="00000000">
      <w:rPr>
        <w:sz w:val="18"/>
        <w:szCs w:val="18"/>
        <w:rtl w:val="0"/>
      </w:rPr>
      <w:t xml:space="preserve">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1.jpg"/><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1712A660063A4FA6BC8FBBC2EDD7AF" ma:contentTypeVersion="18" ma:contentTypeDescription="Create a new document." ma:contentTypeScope="" ma:versionID="4676feeebaa05c8ffc06b754e289aab4">
  <xsd:schema xmlns:xsd="http://www.w3.org/2001/XMLSchema" xmlns:xs="http://www.w3.org/2001/XMLSchema" xmlns:p="http://schemas.microsoft.com/office/2006/metadata/properties" xmlns:ns2="3010625f-9f78-4e82-94d4-2779527a3547" xmlns:ns3="59cbd014-e4d1-44b9-a3ce-f2ba80b4287d" targetNamespace="http://schemas.microsoft.com/office/2006/metadata/properties" ma:root="true" ma:fieldsID="a2f2eedf81465ec91d8869a8fc97effb" ns2:_="" ns3:_="">
    <xsd:import namespace="3010625f-9f78-4e82-94d4-2779527a3547"/>
    <xsd:import namespace="59cbd014-e4d1-44b9-a3ce-f2ba80b4287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0625f-9f78-4e82-94d4-2779527a35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a56c57-c438-495a-bb97-4a10e57d3048"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cbd014-e4d1-44b9-a3ce-f2ba80b4287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a528791-2192-4f3a-8e52-f374dbe80596}" ma:internalName="TaxCatchAll" ma:showField="CatchAllData" ma:web="59cbd014-e4d1-44b9-a3ce-f2ba80b428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B123B-DC73-428B-9320-9C57704F99A7}"/>
</file>

<file path=customXml/itemProps2.xml><?xml version="1.0" encoding="utf-8"?>
<ds:datastoreItem xmlns:ds="http://schemas.openxmlformats.org/officeDocument/2006/customXml" ds:itemID="{0AFD8B84-5242-4559-86FD-56FA78B75F23}"/>
</file>